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98" w:rsidRPr="00B320E8" w:rsidRDefault="00A07E98" w:rsidP="00A07E98">
      <w:pPr>
        <w:pStyle w:val="Standard"/>
        <w:spacing w:line="240" w:lineRule="atLeast"/>
        <w:ind w:firstLine="709"/>
        <w:jc w:val="right"/>
        <w:rPr>
          <w:rStyle w:val="14"/>
          <w:rFonts w:eastAsia="PT Astra Serif"/>
          <w:szCs w:val="28"/>
          <w:lang w:val="en-US"/>
        </w:rPr>
      </w:pPr>
      <w:r w:rsidRPr="00A07E98">
        <w:rPr>
          <w:rStyle w:val="14"/>
          <w:rFonts w:eastAsia="PT Astra Serif"/>
          <w:szCs w:val="28"/>
        </w:rPr>
        <w:t xml:space="preserve">Приложение </w:t>
      </w:r>
      <w:r w:rsidR="00B320E8">
        <w:rPr>
          <w:rStyle w:val="14"/>
          <w:rFonts w:eastAsia="PT Astra Serif"/>
          <w:szCs w:val="28"/>
          <w:lang w:val="en-US"/>
        </w:rPr>
        <w:t>5</w:t>
      </w:r>
      <w:bookmarkStart w:id="0" w:name="_GoBack"/>
      <w:bookmarkEnd w:id="0"/>
    </w:p>
    <w:p w:rsidR="00A07E98" w:rsidRPr="00A07E98" w:rsidRDefault="00A07E98" w:rsidP="00A07E98">
      <w:pPr>
        <w:pStyle w:val="Standard"/>
        <w:spacing w:line="240" w:lineRule="atLeast"/>
        <w:ind w:firstLine="709"/>
        <w:rPr>
          <w:rStyle w:val="14"/>
          <w:rFonts w:eastAsia="PT Astra Serif"/>
          <w:szCs w:val="28"/>
        </w:rPr>
      </w:pPr>
    </w:p>
    <w:p w:rsidR="00A07E98" w:rsidRPr="00A07E98" w:rsidRDefault="00A07E98" w:rsidP="00A07E98">
      <w:pPr>
        <w:pStyle w:val="Standard"/>
        <w:spacing w:line="240" w:lineRule="atLeast"/>
        <w:ind w:firstLine="709"/>
        <w:rPr>
          <w:rStyle w:val="14"/>
          <w:rFonts w:eastAsia="PT Astra Serif"/>
          <w:szCs w:val="28"/>
        </w:rPr>
      </w:pPr>
      <w:r w:rsidRPr="00A07E98">
        <w:rPr>
          <w:rStyle w:val="14"/>
          <w:rFonts w:eastAsia="PT Astra Serif"/>
          <w:szCs w:val="28"/>
        </w:rPr>
        <w:t>Проект мер ФСТЭК №9/70</w:t>
      </w:r>
    </w:p>
    <w:p w:rsidR="00A07E98" w:rsidRPr="00A07E98" w:rsidRDefault="00A07E98" w:rsidP="00A07E98">
      <w:pPr>
        <w:pStyle w:val="Standard"/>
        <w:spacing w:line="240" w:lineRule="atLeast"/>
        <w:ind w:firstLine="709"/>
        <w:rPr>
          <w:rStyle w:val="14"/>
          <w:rFonts w:eastAsia="PT Astra Serif"/>
          <w:szCs w:val="28"/>
        </w:rPr>
      </w:pP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результатам анализа сведений об угрозах безопасности информации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и деятельности хакерских группировок, проводимого специалистами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ФСТЭК России в условиях сложившейся обстановки, выявлены сведения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о деятельности хакерских группировок и распространяемом ими вредоносном программном обеспечении.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sz w:val="28"/>
          <w:szCs w:val="28"/>
        </w:rPr>
        <w:t>В соответствии с подпунктом «е» пункта 1 Указа Президента Российской Федерации от 1 мая 2022 г. № 250 «О дополнительных мерах по обеспечению информационной безопасности Российской Федерации» направляем организационные и технические меры по повышению защищенности информационной инфраструктуры органа (организации), подлежащие реализации.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 Хакерской группировкой Rare Werewolf, нацеленной на органы государственной власти и субъекты критической информационной инфраструктуры Российской Федерации, осуществляются фишинговые рассылки электронных писем с тематикой «:Fwd :Re Новый договор с пересмотренной калькуляцией». Во вложениях указанных писем прикреплен архив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с наименованием «Исправленный текст договора с новой сметой.rar», содержащий документ-приманку с наименованием «Исправленная калькуляция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к договору.docx» и исполняемый файл с наименованием «Последняя редакция договора.com». После запуска пользователем указанного исполняемого файла осуществляется внедрение на целевую систему программного обеспечения для удаленного доступа «AnyDesk».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указанной хакерской группировки по фишинговым рассылкам, необходимо принять следующие меры защиты.</w:t>
      </w:r>
    </w:p>
    <w:p w:rsidR="00426F28" w:rsidRPr="00A07E98" w:rsidRDefault="00600E51" w:rsidP="00A07E98">
      <w:pPr>
        <w:pStyle w:val="af"/>
        <w:spacing w:after="0" w:line="240" w:lineRule="atLeast"/>
        <w:ind w:left="0" w:firstLine="709"/>
        <w:contextualSpacing w:val="0"/>
        <w:jc w:val="both"/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1.1. Производить на этапе приема письма почтовым сервером автоматическую проверку вложений с использованием публичных или имеющихся «песочниц» («sandbox») для выявления вредоносной активности.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1.2. Производить проверку почтовых вложений с использованием средств антивирусной защиты: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антивирусного средства Kaspersky Endpoint Security необходимо использовать функцию «Защита от почтовых угроз». Для того чтобы включить указанную функцию, необходимо перейти в настройки приложения и в разделе «Базовая защита» активировать функцию «Защита от почтовых угроз»;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антивирусного средства Dr.Web Security Space необходимо использовать утилиту SpIDer Mail. Для того чтобы задействовать указанную утилиту, необходимо перейти в настройки приложения и в разделе «Компоненты защиты» выбрать и активировать утилиту SpIDer Mail.</w:t>
      </w:r>
    </w:p>
    <w:p w:rsidR="00426F28" w:rsidRPr="00A07E98" w:rsidRDefault="00600E51" w:rsidP="00A07E98">
      <w:pPr>
        <w:pStyle w:val="af"/>
        <w:spacing w:after="0" w:line="240" w:lineRule="atLeast"/>
        <w:ind w:left="0" w:firstLine="709"/>
        <w:contextualSpacing w:val="0"/>
        <w:jc w:val="both"/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A07E98"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  <w:t>1.3. Осуществлять автоматическую проверку указанных в письмах</w:t>
      </w:r>
      <w:r w:rsidRPr="00A07E98"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  <w:br/>
        <w:t>URL-адресов, содержащихся в электронных письмах, с использованием механизмов анализа ссылок.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1.4. Проверять имя домена отправителя электронного письма в целях идентификации отправителя. Для этого необходимо обращать внимание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на наименование почтового адреса (домена), указанного после символа «@»,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и сопоставлять его с адресами (доменами) органов (организаций), с которыми осуществляется служебная переписка.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1.5. Организовать получение почтовых вложений только от известных отправителей. Для этого необходимо организовать ведение списков адресов электронной почты органов (организаций), с которыми осуществляется взаимодействие.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1.6. Не открывать и не загружать почтовые вложения писем с тематикой,</w:t>
      </w: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не относящейся к деятельности органа (организации).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1.7. Осуществлять работу с электронной почтой под учетными записями пользователей операционной системы с минимальными возможными привилегиями: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операционных систем семейства Microsoft Windows ограничение привилегий можно осуществить через «Панель управления» - «Учетные записи пользователей» - «Управление учетными записями»;</w:t>
      </w:r>
    </w:p>
    <w:p w:rsidR="00426F28" w:rsidRPr="00A07E98" w:rsidRDefault="00600E51" w:rsidP="00A07E98">
      <w:pPr>
        <w:pStyle w:val="af"/>
        <w:spacing w:after="0" w:line="240" w:lineRule="atLeast"/>
        <w:ind w:left="0" w:firstLine="709"/>
        <w:contextualSpacing w:val="0"/>
        <w:jc w:val="both"/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</w:pPr>
      <w:r w:rsidRPr="00A07E98">
        <w:rPr>
          <w:rFonts w:ascii="Times New Roman" w:eastAsia="Times New Rom愀渀" w:hAnsi="Times New Roman" w:cs="Times New Roman"/>
          <w:bCs/>
          <w:iCs/>
          <w:color w:val="000000"/>
          <w:sz w:val="28"/>
          <w:szCs w:val="28"/>
          <w:lang w:eastAsia="zh-CN"/>
        </w:rPr>
        <w:t>для операционных систем семейства Linux исключить работу под учетной записью root, при необходимости осуществить настройку необходимого перечня команд в файле конфигураций sudoers. Использовать для разграничения прав доступа к файлам и директориям как отдельных пользователей, так и групп пользователей команды chmod, chown, chgrp.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1.8. Осуществить настройку правил системы мониторинга событий информационной безопасности (при ее наличии) путем внесения в правила корреляции 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событий следующих индикаторов компрометации (sha256):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a0a2f36c53f439f5b5753a618f360fcf3ca227173983b2822e25bffd4b4fc899;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9b5d7bd90d7df3440858b30fcc794529e42d6bea45162d1e2e7a32e772d11592;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e6c5b262b9f0148303fe295d4b11397912cdfc85f88b23cd13f4a9c2a6088954.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осуществляется эксплуатация уязвимости функции requireModule() пакетов react-server-dom-webpack, react-server-dom-parcel и react-server-dom-turbopack JavaScript библиотеки построения пользовательских интерфейсов React (BDU:2025-15156, уровень опасности по CVSS 3.1 - критический) для внедрения на целевые системы вредоносного программного обеспечения.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указанной уязвимости рекомендуется установить обновление программного обеспечения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в соответствии с Методикой тестирования обновлений безопасности программных, программно-аппаратных средств, утвержденной ФСТЭК России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28 октября 2022 г., а также Методикой оценки уровня критичности уязвимостей программных, программно-аппаратных средств, утвержденной ФСТЭК России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30 июня 2025 г. (https://fstec.ru/dokumenty/vse-dokumenty/spetsialnye-normativnye-dokumenty).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104[.]238[.]149[.]198;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23[.]235[.]188[.]3;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hxxp[:]//104[.]238[.]149[.]198[:]12349/BVN0VEdddye5odDFVR.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sz w:val="28"/>
          <w:szCs w:val="28"/>
        </w:rPr>
        <w:t>Обращаем внимание, что редактирование в активное состояние ссылок</w:t>
      </w:r>
      <w:r w:rsidRPr="00A07E98">
        <w:rPr>
          <w:rFonts w:ascii="Times New Roman" w:hAnsi="Times New Roman" w:cs="Times New Roman"/>
          <w:sz w:val="28"/>
          <w:szCs w:val="28"/>
        </w:rPr>
        <w:br/>
        <w:t>на вредоносное программное обеспечение и серверы управления злоумышленников, приведенных в настоящем письме, а также переход по данным ссылкам не допускается, так как создает предпосылки к распространению вредоносного программного обеспечения.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Кроме того, необходимо осуществить настройку правил системы мониторинга событий информационной безопасности (при ее наличии) путем внесения в правила корреляции событий следующих индикаторов компрометации (sha256):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7d2c9b4a3942f6029d2de7f73723b505b64caa8e1763e4eb1f134360465185d0;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bb470a803b6d7b12fb596d2e4a18ea9ca91f40fd34ded7f01a487eed9a1d814d.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3. Хакерской группировкой Iridescent Hyena, нацеленной на органы государственной власти и субъекты критической информационной инфраструктуры Российской Федерации, при реализации целевых компьютерных атак возможно применение вредоносного программного обеспечения типов «червь» (CMoon) и «стилер» (WhiteSnake).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указанной хакерской группировки,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93[.]185[.]167[.]95;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45[.]59[.]104[.]152.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Кроме того, необходимо осуществить настройку правил системы мониторинга событий информационной безопасности (при ее наличии) путем внесения в правила корреляции событий следующих индикаторов компрометации (sha256):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a4be526be5359ad2981f439457fe652895731ad56c10c113c22a7836a9591e5d;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cb8220ea1145381e4974940f6ca92c6e7ac9e37db1c496768a7720c924d71751;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f8c27516a16d0ee9a055dc6b18a6c8e7439fee79efada2bbad95928d623a7af4;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2ad9ca5326dc0958997539bbd8f6dc93c4cff4a5aafeb7805035ad293137c87f;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7178ac75b5108657591fb784283e4ea0ab07a58008160aa0ae39daa8598ff385;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5a645765859709eb38f2ef1ad588b10c996bb4bec689230a6ac6ff455b052889;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d9deec7eae368ed7ba1ca059d639fec0efabe89b53338d8ce2705d2770652ad5;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3ddb24b0d9afd6ac04a7365e1853e201e85d74f1fb3a2fb96514dc84a25217f8;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7cfbc050a167046c8d39197d9442c27beb581efde662e91afa90c36b4f310ac0;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bbae8bbed93c5544ee4703e116509cf32fa8292333eedeae0cd882842a9ea9a4;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00ce60d07c498be48d48794767ef638c1eda96ebe05e1baaefff4043c859b092;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ee7fb553b3949d5adf905bfd360cfed8d87f9631204114ae529d38f0cab70e92;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f1431b0d9af275736c776aa5d19d8a986210bce7fba84615b240109de292de03;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a36e5c8960f27edfe6faac02d2b5912317dce0b9ab558378680303e1b15503de;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8fb098802dc52b116c82e1d8a1811ee8e2a3ee9e91f38aed7171cdd2bc446981.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 Х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Российской Федерации, осуществляются атаки с использованием метода «ClickFix». Пользователю операционной системы Windows предлагается выполнить последовательность шагов (например, нажать комбинацию клавиш «Win+R»), после выполнения которых осуществляется выполнение команд оболочки сценариев «PowerShell» и внедрение на целевую систему модифицированного «фреймворка» «NodeJS» для организации среды выполнения вредоносного программного обеспечения типа «троян удаленного доступа».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yuhvgbzsa66biqeatbmdvfo5b5jjefcmz5t2vjuvco5qtdkshfpabyid[.]onion;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hxxps[:]//bull-run[.]fun/;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hxxps[:]//spot-wave[.]fun/;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hxxps[:]//cloud-verificate[.]com/NodeServer-Setup-Full[.]msi.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Кроме того, необходимо осуществить настройку правил системы мониторинга событий информационной безопасности (при ее наличии) путем внесения в правила корреляции событий следующего индикатора компрометации (sha256):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519D5F0350F7880559AD6CA51EB9C4E91FFE2046B635B58ADA4B7269B775BB89.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(DesckVB 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andrefelipedonascime1768785037020[.]1552093[.]meusitehostgator[.]com[.]br;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manikandan83[.]mysynology[.]net.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Кроме того, необходимо осуществить настройку правил системы мониторинга событий информационной безопасности (при ее наличии) путем внесения в правила корреляции событий следующих индикаторов компрометации (sha256):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220e11c678bcba151545ce19398e08b8802103bfbbc11696f3301ea8fa38190c;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3709135eda3b1867b2b38d3b2b04d749d6ac2d7e2ca32d59d48176fbf4ab147b;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ee05a36e0348785f5b4b5d7ca0d078323babde76cca64117e13425943a99788f;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1e1168b2c281f1adaf2e2919e4872ceb4dd6918c9658b27278b85fcd44b4c256;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88d767f02f51bc8baee5546ab7e021dcfab747556c13ac3ff976f8ec3ddcbef5;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0591015e34afba422b32a8a9e0570b44e816182f46db6cf65792a0764de66fb0.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 xml:space="preserve">Российской Федерации, при реализации целевых компьютерных атак 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осуществляется применение вредоносного программного обеспечения типа «троян удаленного доступа» (njRAT).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oa8naf3lih[.]localto[.]net;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ali19951995[.]ddns[.]net;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1odhwfyicv[.]localto[.]net.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(DCRAT).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a1251124[.]xsph[.]ru;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ca340844[.]tw1[.]ru;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v2[.]xoilacvi[.]co;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cz05897[.]tw1[.]ru;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hxxp[:]//ce539997[.]tw1[.]ru/L1nc0In[.]php;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hxxp[:]//ck771894[.]tw1[.]ru/L1nc0In[.]php.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(XWorm).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girl-tries[.]gl[.]at[.]ply[.]gg;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marxrwonew9090[.]duckdns[.]org;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cxtsee09ky[.]localto[.]net;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lol42647-45750[.]portmap[.]host;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skynet2[.]ydns[.]eu;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burb-34671[.]portmap[.]host;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cxoljbb9p0[.]localto[.]net;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doz6060xwo[.]duckdns[.]org;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fpzmgxdblu[.]localto[.]net;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widely-revenue[.]gl[.]at[.]ply[.]gg;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3ed5lh-ip-178-214-244-87[.]tunnelmole[.]net;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jxp1ms-ip-178-214-244-87[.]tunnelmole[.]net.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9.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(Quasar 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5491[.]cn[.]com;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8421[.]cn[.]com;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agrevo[.]us[.]com;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valedobras[.]com;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vn168aa[.]net;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webdev[.]it[.]com;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2sasprosnowmeprona[.]za[.]com;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aiscore[.]it[.]com;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charlotte[.]eu[.]com;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greek[.]gb[.]net;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lotusstudiopr[.]us[.]com;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mahjongtiles[.]it[.]com;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powercare[.]in[.]net;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proveritas[.]eu[.]com;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skk[.]uk[.]com;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cckd6h3fsb6976au8o[.]jp[.]net;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hubet88[.]name;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jae888[.]com;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ratted[.]localto[.]net;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www[.]zt9398net[.]online;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bblive[.]in[.]net;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dreamfortrealtors[.]com;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safetynethyderabad[.]in[.]net;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www[.]xn--n8j214ginb1xa168mh3g[.]jpn[.]com.</w:t>
      </w:r>
    </w:p>
    <w:p w:rsidR="00426F28" w:rsidRPr="00A07E98" w:rsidRDefault="00600E51" w:rsidP="00A07E98">
      <w:pPr>
        <w:pStyle w:val="Standard"/>
        <w:spacing w:line="240" w:lineRule="atLeast"/>
        <w:ind w:firstLine="709"/>
        <w:jc w:val="both"/>
        <w:rPr>
          <w:rFonts w:ascii="Times New Roman" w:hAnsi="Times New Roman" w:cs="Times New Roman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Cs w:val="28"/>
          <w:lang w:eastAsia="zh-CN"/>
        </w:rPr>
        <w:t>10.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Cs w:val="28"/>
          <w:lang w:eastAsia="zh-CN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(Remcos 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backup2026[.]ddnsgeek[.]com;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olowo[.]gleeze[.]com;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www[.]genaralclassproject[.]com;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www[.]genaralclassprojectbackup1[.]com;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lastRenderedPageBreak/>
        <w:t>www[.]genaralclassprojectbackup2[.]com;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www[.]genaralclassprojectbackup3[.]com;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bluntdavid38[.]kozow[.]com;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davidchong01[.]camdvr[.]org;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datawebsync-lvmv[.]onrender[.]com;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service-kom[.]ydns[.]eu;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service-kombk[.]ydns[.]eu.</w:t>
      </w:r>
    </w:p>
    <w:p w:rsidR="00426F28" w:rsidRPr="00A07E98" w:rsidRDefault="00600E51" w:rsidP="00A07E98">
      <w:pPr>
        <w:pStyle w:val="Standard"/>
        <w:spacing w:line="240" w:lineRule="atLeast"/>
        <w:ind w:firstLine="709"/>
        <w:jc w:val="both"/>
        <w:rPr>
          <w:rFonts w:ascii="Times New Roman" w:hAnsi="Times New Roman" w:cs="Times New Roman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Cs w:val="28"/>
          <w:lang w:eastAsia="zh-CN"/>
        </w:rPr>
        <w:t>11.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Cs w:val="28"/>
          <w:lang w:eastAsia="zh-CN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(NetSupport 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адресу miskolopiyzf[.]com, используя схему доступа по «черным» или «белым» спискам.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12. 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«троян удаленного доступа» (Valley RAT).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адресу d-3[.]qq-weixin[.]org, используя схему доступа по «черным» или «белым» спискам.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13. 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«стилер» (Lumma Stealer).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test-dummy-domain-000[.]com;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hxxps[:]//cheeerfulharbor[.]rest;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hxxps[:]//podiat[.]cyou;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hxxps[:]//certif[.]cyou;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hxxps[:]//smeltd[.]cyou.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14. 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«стилер» (DeerStealer).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Для предотвращения реализации угроз безопасности информации, связанных с деятельностью указанных хакерских группировок, необходимо обеспечить на 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уровне сетевых средств защиты информации ограничение обращений к адресу solstice-line-drift[.]pro, используя схему доступа по «черным» или «белым» спискам.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«стилер» (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Vidar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Stealer).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test-invalid-domain[.]invalid;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hxxps[:]//49[.]12[.]207[.]147.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16. 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Хакерскими группировками, нацеленными на органы государственной власти и субъекты критической информационной инфраструктуры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Российской Федерации, при реализации целевых компьютерных атак осуществляется применение вредоносного программного обеспечения типа «стилер» (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Rhadamanthys</w:t>
      </w: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Stealer).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предотвращения реализации угроз безопасности информации, связанных с деятельностью указанных хакерских группировок, необходимо обеспечить на уровне сетевых средств защиты информации ограничение обращений к следующим адресам, используя схему доступа по «черным» или «белым» спискам: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185[.]225[.]74[.]173;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95[.]214[.]27[.]17;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87[.]120[.]84[.]232;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ashpaltlonpro[.]com;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blatnoitovar[.]xyz;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denegnet[.]click;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plush-topaz[.]space;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stajestetice[.]top;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parky[.]pics;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hxxps[:]//biggestchlen[.]xyz/cf[.]js;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hxxps[:]//biggestchlen[.]lol;</w:t>
      </w:r>
    </w:p>
    <w:p w:rsidR="00426F28" w:rsidRPr="00A07E98" w:rsidRDefault="00600E51" w:rsidP="00A07E98">
      <w:pPr>
        <w:pStyle w:val="Standarduser"/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7E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hxxps[:]//klubtrenerowbiznesu[.]pl.</w:t>
      </w:r>
    </w:p>
    <w:sectPr w:rsidR="00426F28" w:rsidRPr="00A07E98">
      <w:headerReference w:type="even" r:id="rId7"/>
      <w:headerReference w:type="default" r:id="rId8"/>
      <w:headerReference w:type="first" r:id="rId9"/>
      <w:pgSz w:w="11906" w:h="16838"/>
      <w:pgMar w:top="907" w:right="567" w:bottom="850" w:left="141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AE" w:rsidRDefault="005626AE">
      <w:r>
        <w:separator/>
      </w:r>
    </w:p>
  </w:endnote>
  <w:endnote w:type="continuationSeparator" w:id="0">
    <w:p w:rsidR="005626AE" w:rsidRDefault="005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愀渀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AE" w:rsidRDefault="005626AE">
      <w:r>
        <w:rPr>
          <w:color w:val="000000"/>
        </w:rPr>
        <w:separator/>
      </w:r>
    </w:p>
  </w:footnote>
  <w:footnote w:type="continuationSeparator" w:id="0">
    <w:p w:rsidR="005626AE" w:rsidRDefault="0056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51" w:rsidRDefault="00600E51">
    <w:pPr>
      <w:pStyle w:val="ab"/>
    </w:pPr>
    <w:r>
      <w:fldChar w:fldCharType="begin"/>
    </w:r>
    <w:r>
      <w:instrText xml:space="preserve"> PAGE </w:instrText>
    </w:r>
    <w:r>
      <w:fldChar w:fldCharType="separate"/>
    </w:r>
    <w:r w:rsidR="00B320E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51" w:rsidRDefault="00600E51">
    <w:pPr>
      <w:pStyle w:val="ab"/>
    </w:pPr>
    <w:r>
      <w:fldChar w:fldCharType="begin"/>
    </w:r>
    <w:r>
      <w:instrText xml:space="preserve"> PAGE </w:instrText>
    </w:r>
    <w:r>
      <w:fldChar w:fldCharType="separate"/>
    </w:r>
    <w:r w:rsidR="00B320E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51" w:rsidRDefault="00600E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6D62"/>
    <w:multiLevelType w:val="multilevel"/>
    <w:tmpl w:val="3FBA3BB2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" w15:restartNumberingAfterBreak="0">
    <w:nsid w:val="0A797B81"/>
    <w:multiLevelType w:val="multilevel"/>
    <w:tmpl w:val="9BFC9DB6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2" w15:restartNumberingAfterBreak="0">
    <w:nsid w:val="100B2832"/>
    <w:multiLevelType w:val="multilevel"/>
    <w:tmpl w:val="8FB22C2E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3" w15:restartNumberingAfterBreak="0">
    <w:nsid w:val="14AB1872"/>
    <w:multiLevelType w:val="multilevel"/>
    <w:tmpl w:val="070E105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4" w15:restartNumberingAfterBreak="0">
    <w:nsid w:val="26426D85"/>
    <w:multiLevelType w:val="multilevel"/>
    <w:tmpl w:val="B4964F7C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5" w15:restartNumberingAfterBreak="0">
    <w:nsid w:val="3D373774"/>
    <w:multiLevelType w:val="multilevel"/>
    <w:tmpl w:val="3BFA3E78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48EC46E2"/>
    <w:multiLevelType w:val="multilevel"/>
    <w:tmpl w:val="42E25006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7" w15:restartNumberingAfterBreak="0">
    <w:nsid w:val="504A774A"/>
    <w:multiLevelType w:val="multilevel"/>
    <w:tmpl w:val="51F453B0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537F7554"/>
    <w:multiLevelType w:val="multilevel"/>
    <w:tmpl w:val="BC8A6A1A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5DA53E5C"/>
    <w:multiLevelType w:val="multilevel"/>
    <w:tmpl w:val="4216A716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649B5733"/>
    <w:multiLevelType w:val="multilevel"/>
    <w:tmpl w:val="33269CD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1" w15:restartNumberingAfterBreak="0">
    <w:nsid w:val="68D179B7"/>
    <w:multiLevelType w:val="multilevel"/>
    <w:tmpl w:val="4E4ADB1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6E0B726A"/>
    <w:multiLevelType w:val="multilevel"/>
    <w:tmpl w:val="2FA63DB8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76D47BE1"/>
    <w:multiLevelType w:val="multilevel"/>
    <w:tmpl w:val="9972178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28"/>
    <w:rsid w:val="001539BE"/>
    <w:rsid w:val="00426F28"/>
    <w:rsid w:val="004625B3"/>
    <w:rsid w:val="005626AE"/>
    <w:rsid w:val="00600E51"/>
    <w:rsid w:val="00A07E98"/>
    <w:rsid w:val="00AB4A32"/>
    <w:rsid w:val="00B320E8"/>
    <w:rsid w:val="00C86B35"/>
    <w:rsid w:val="00E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D1B1"/>
  <w15:docId w15:val="{B7176432-582E-4495-92C9-1919EA28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  <w:pPr>
      <w:suppressLineNumbers/>
    </w:pPr>
    <w:rPr>
      <w:bCs/>
      <w:sz w:val="32"/>
      <w:szCs w:val="32"/>
    </w:rPr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4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3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andarduser">
    <w:name w:val="Standard (user)"/>
    <w:pPr>
      <w:autoSpaceDN w:val="0"/>
      <w:textAlignment w:val="baseline"/>
    </w:pPr>
    <w:rPr>
      <w:rFonts w:ascii="Times New Rom愀渀" w:eastAsia="Times New Rom愀渀" w:hAnsi="Times New Rom愀渀" w:cs="Times New Rom愀渀"/>
      <w:kern w:val="3"/>
      <w:sz w:val="24"/>
      <w:szCs w:val="24"/>
      <w:lang w:eastAsia="zh-CN"/>
    </w:rPr>
  </w:style>
  <w:style w:type="paragraph" w:styleId="ae">
    <w:name w:val="Block Text"/>
    <w:basedOn w:val="Standard"/>
    <w:pPr>
      <w:shd w:val="clear" w:color="auto" w:fill="FFFFFF"/>
      <w:ind w:left="14" w:right="43" w:firstLine="539"/>
      <w:jc w:val="both"/>
    </w:pPr>
    <w:rPr>
      <w:rFonts w:ascii="Arial" w:eastAsia="Arial" w:hAnsi="Arial" w:cs="Arial"/>
      <w:color w:val="000080"/>
      <w:szCs w:val="20"/>
    </w:rPr>
  </w:style>
  <w:style w:type="paragraph" w:styleId="af">
    <w:name w:val="List Paragraph"/>
    <w:basedOn w:val="Standar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character" w:customStyle="1" w:styleId="ListLabel62">
    <w:name w:val="ListLabel 62"/>
  </w:style>
  <w:style w:type="character" w:customStyle="1" w:styleId="ListLabel61">
    <w:name w:val="ListLabel 61"/>
  </w:style>
  <w:style w:type="character" w:customStyle="1" w:styleId="ListLabel60">
    <w:name w:val="ListLabel 60"/>
  </w:style>
  <w:style w:type="character" w:customStyle="1" w:styleId="ListLabel59">
    <w:name w:val="ListLabel 59"/>
  </w:style>
  <w:style w:type="character" w:customStyle="1" w:styleId="ListLabel58">
    <w:name w:val="ListLabel 58"/>
  </w:style>
  <w:style w:type="character" w:customStyle="1" w:styleId="ListLabel57">
    <w:name w:val="ListLabel 57"/>
  </w:style>
  <w:style w:type="character" w:customStyle="1" w:styleId="ListLabel56">
    <w:name w:val="ListLabel 56"/>
  </w:style>
  <w:style w:type="character" w:customStyle="1" w:styleId="ListLabel55">
    <w:name w:val="ListLabel 55"/>
  </w:style>
  <w:style w:type="character" w:customStyle="1" w:styleId="ListLabel54">
    <w:name w:val="ListLabel 54"/>
    <w:rPr>
      <w:rFonts w:ascii="Times New Roman" w:eastAsia="Times New Roman" w:hAnsi="Times New Roman" w:cs="Times New Roman"/>
      <w:sz w:val="23"/>
    </w:rPr>
  </w:style>
  <w:style w:type="character" w:styleId="af2">
    <w:name w:val="Hyperlink"/>
    <w:rPr>
      <w:color w:val="0563C1"/>
      <w:u w:val="single"/>
    </w:rPr>
  </w:style>
  <w:style w:type="character" w:customStyle="1" w:styleId="af3">
    <w:name w:val="Неразрешенное упоминание"/>
    <w:rPr>
      <w:color w:val="605E5C"/>
      <w:shd w:val="clear" w:color="auto" w:fill="E1DFDD"/>
    </w:rPr>
  </w:style>
  <w:style w:type="character" w:styleId="af4">
    <w:name w:val="footnote reference"/>
    <w:rPr>
      <w:position w:val="0"/>
      <w:vertAlign w:val="superscript"/>
    </w:rPr>
  </w:style>
  <w:style w:type="character" w:customStyle="1" w:styleId="InternetLink0">
    <w:name w:val="Internet Link"/>
    <w:rPr>
      <w:color w:val="0563C1"/>
      <w:u w:val="single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21">
    <w:name w:val="Список 21"/>
    <w:basedOn w:val="a4"/>
    <w:pPr>
      <w:numPr>
        <w:numId w:val="4"/>
      </w:numPr>
    </w:pPr>
  </w:style>
  <w:style w:type="numbering" w:customStyle="1" w:styleId="31">
    <w:name w:val="Список 31"/>
    <w:basedOn w:val="a4"/>
    <w:pPr>
      <w:numPr>
        <w:numId w:val="5"/>
      </w:numPr>
    </w:pPr>
  </w:style>
  <w:style w:type="numbering" w:customStyle="1" w:styleId="41">
    <w:name w:val="Список 41"/>
    <w:basedOn w:val="a4"/>
    <w:pPr>
      <w:numPr>
        <w:numId w:val="6"/>
      </w:numPr>
    </w:pPr>
  </w:style>
  <w:style w:type="numbering" w:customStyle="1" w:styleId="51">
    <w:name w:val="Список 51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  <w:style w:type="numbering" w:customStyle="1" w:styleId="WWNum1">
    <w:name w:val="WWNum1"/>
    <w:basedOn w:val="a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2APM 9Otd</dc:creator>
  <cp:keywords/>
  <cp:lastModifiedBy>Михаил Александрович Собцев</cp:lastModifiedBy>
  <cp:revision>3</cp:revision>
  <cp:lastPrinted>2026-04-10T05:58:00Z</cp:lastPrinted>
  <dcterms:created xsi:type="dcterms:W3CDTF">2026-04-10T13:16:00Z</dcterms:created>
  <dcterms:modified xsi:type="dcterms:W3CDTF">2026-04-21T08:43:00Z</dcterms:modified>
</cp:coreProperties>
</file>