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89" w:rsidRDefault="007F6E89" w:rsidP="007F6E89">
      <w:pPr>
        <w:widowControl w:val="0"/>
        <w:autoSpaceDE w:val="0"/>
        <w:autoSpaceDN w:val="0"/>
        <w:spacing w:after="0" w:line="240" w:lineRule="auto"/>
        <w:ind w:right="82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ПОКАЗАТЕЛИ </w:t>
      </w:r>
    </w:p>
    <w:p w:rsidR="007F6E89" w:rsidRDefault="007F6E89" w:rsidP="007F6E89">
      <w:pPr>
        <w:widowControl w:val="0"/>
        <w:autoSpaceDE w:val="0"/>
        <w:autoSpaceDN w:val="0"/>
        <w:spacing w:after="0" w:line="240" w:lineRule="auto"/>
        <w:ind w:right="82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деятельности ГОУ ЯО «Ярославская общеобразовательная школа»</w:t>
      </w:r>
    </w:p>
    <w:p w:rsidR="007F6E89" w:rsidRDefault="007F6E89" w:rsidP="007F6E89">
      <w:pPr>
        <w:widowControl w:val="0"/>
        <w:autoSpaceDE w:val="0"/>
        <w:autoSpaceDN w:val="0"/>
        <w:spacing w:after="0" w:line="240" w:lineRule="auto"/>
        <w:ind w:right="82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показателей деятельности образовательного учреждения учитывались порядок и особенности обучения лиц, осужденных к лишению свободы.</w:t>
      </w:r>
    </w:p>
    <w:tbl>
      <w:tblPr>
        <w:tblW w:w="10485" w:type="dxa"/>
        <w:tblInd w:w="-9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85"/>
        <w:gridCol w:w="19"/>
        <w:gridCol w:w="8291"/>
        <w:gridCol w:w="28"/>
        <w:gridCol w:w="1362"/>
      </w:tblGrid>
      <w:tr w:rsidR="007F6E89" w:rsidTr="007F6E89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№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п</w:t>
            </w:r>
            <w:proofErr w:type="spellEnd"/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7F6E89" w:rsidTr="007F6E89">
        <w:trPr>
          <w:trHeight w:hRule="exact" w:val="29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Образовательная  деятельность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29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Общая  численность учащихся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98 человек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40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Численность учащихся по образовательной программе  начального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образования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0  человек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43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Численность учащихся по образовательной программе основного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образования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28  человек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42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Численность учащихся по образовательной программе среднего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образования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70  человек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57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Численность/удельный вес численности учащихся, успевающих на «4» и «5»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результатам промежуточной аттестации, в общей численности учащихся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0 человек/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0 %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57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русскому языку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7F6E89" w:rsidTr="007F6E89">
        <w:trPr>
          <w:trHeight w:hRule="exact" w:val="39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математике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7F6E89" w:rsidTr="007F6E89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Средний балл ГВЭ выпускников 11 класса по русскому языку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Cs w:val="24"/>
              </w:rPr>
              <w:t>балла</w:t>
            </w:r>
          </w:p>
        </w:tc>
      </w:tr>
      <w:tr w:rsidR="007F6E89" w:rsidTr="007F6E89">
        <w:trPr>
          <w:trHeight w:hRule="exact" w:val="394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Средний балл ГВЭ выпускников 11 класса по математике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7F6E89" w:rsidTr="007F6E89">
        <w:trPr>
          <w:trHeight w:hRule="exact" w:val="85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человек/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0 %</w:t>
            </w:r>
          </w:p>
        </w:tc>
      </w:tr>
      <w:tr w:rsidR="007F6E89" w:rsidTr="007F6E89">
        <w:trPr>
          <w:trHeight w:hRule="exact" w:val="99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человек/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0 %</w:t>
            </w:r>
          </w:p>
        </w:tc>
      </w:tr>
      <w:tr w:rsidR="007F6E89" w:rsidTr="007F6E89">
        <w:trPr>
          <w:trHeight w:hRule="exact" w:val="992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 ГВЭ по русскому языку, в общей численности выпускников 11 класса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0 человек/ 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0 %</w:t>
            </w:r>
          </w:p>
        </w:tc>
      </w:tr>
      <w:tr w:rsidR="007F6E89" w:rsidTr="007F6E89">
        <w:trPr>
          <w:trHeight w:hRule="exact" w:val="991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ГВЭ по математике, в общей численности выпускников 11  класса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0 человек/ 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0  %</w:t>
            </w:r>
          </w:p>
        </w:tc>
      </w:tr>
      <w:tr w:rsidR="007F6E89" w:rsidTr="007F6E89">
        <w:trPr>
          <w:trHeight w:hRule="exact" w:val="708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0человек/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0 %</w:t>
            </w:r>
          </w:p>
        </w:tc>
      </w:tr>
      <w:tr w:rsidR="007F6E89" w:rsidTr="007F6E89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человек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0%</w:t>
            </w:r>
          </w:p>
        </w:tc>
      </w:tr>
      <w:tr w:rsidR="007F6E89" w:rsidTr="007F6E89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человек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0 %</w:t>
            </w:r>
          </w:p>
        </w:tc>
      </w:tr>
      <w:tr w:rsidR="007F6E89" w:rsidTr="007F6E89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человек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0 %</w:t>
            </w:r>
          </w:p>
        </w:tc>
      </w:tr>
      <w:tr w:rsidR="007F6E89" w:rsidTr="007F6E89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40 человек/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41%</w:t>
            </w:r>
          </w:p>
        </w:tc>
      </w:tr>
      <w:tr w:rsidR="007F6E89" w:rsidTr="007F6E89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10 человек/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7  %</w:t>
            </w:r>
          </w:p>
        </w:tc>
      </w:tr>
      <w:tr w:rsidR="007F6E89" w:rsidTr="007F6E89">
        <w:trPr>
          <w:trHeight w:hRule="exact" w:val="386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1.19.1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Регионального уровня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1человек/ 1%</w:t>
            </w:r>
          </w:p>
        </w:tc>
      </w:tr>
      <w:tr w:rsidR="007F6E89" w:rsidTr="007F6E89">
        <w:trPr>
          <w:trHeight w:hRule="exact" w:val="28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1.19.2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Федерального уровня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3 человек/ 3%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0,6%</w:t>
            </w:r>
          </w:p>
        </w:tc>
      </w:tr>
      <w:tr w:rsidR="007F6E89" w:rsidTr="007F6E89">
        <w:trPr>
          <w:trHeight w:hRule="exact" w:val="28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1.19.3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Международного уровня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2 человек/ 2 %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0,6%</w:t>
            </w:r>
          </w:p>
        </w:tc>
      </w:tr>
      <w:tr w:rsidR="007F6E89" w:rsidTr="007F6E89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70 человек/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71,4%</w:t>
            </w:r>
          </w:p>
        </w:tc>
      </w:tr>
      <w:tr w:rsidR="007F6E89" w:rsidTr="007F6E89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70 человек/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71,4%</w:t>
            </w:r>
          </w:p>
        </w:tc>
      </w:tr>
      <w:tr w:rsidR="007F6E89" w:rsidTr="007F6E89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человек/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0 %</w:t>
            </w:r>
          </w:p>
        </w:tc>
      </w:tr>
      <w:tr w:rsidR="007F6E89" w:rsidTr="007F6E89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человек/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0 %</w:t>
            </w:r>
          </w:p>
        </w:tc>
      </w:tr>
      <w:tr w:rsidR="007F6E89" w:rsidTr="007F6E89">
        <w:trPr>
          <w:trHeight w:hRule="exact" w:val="44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Общая численность педагогических работников, в том числе: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13 человек</w:t>
            </w:r>
          </w:p>
        </w:tc>
      </w:tr>
      <w:tr w:rsidR="007F6E89" w:rsidTr="007F6E89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13 человек/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100%</w:t>
            </w:r>
          </w:p>
        </w:tc>
      </w:tr>
      <w:tr w:rsidR="007F6E89" w:rsidTr="007F6E89">
        <w:trPr>
          <w:trHeight w:hRule="exact" w:val="595"/>
        </w:trPr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13 человек/</w:t>
            </w:r>
          </w:p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%</w:t>
            </w:r>
          </w:p>
        </w:tc>
      </w:tr>
      <w:tr w:rsidR="007F6E89" w:rsidTr="007F6E89">
        <w:trPr>
          <w:trHeight w:hRule="exact" w:val="639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w w:val="89"/>
                <w:sz w:val="24"/>
                <w:szCs w:val="24"/>
              </w:rPr>
              <w:t>1.27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в общей численности педагогических работников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человек/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0 %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845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86"/>
                <w:sz w:val="24"/>
                <w:szCs w:val="24"/>
              </w:rPr>
              <w:t>1.28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профиля), в общей численности педагогических работников</w:t>
            </w:r>
            <w:proofErr w:type="gramEnd"/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человек/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0 %</w:t>
            </w:r>
          </w:p>
        </w:tc>
      </w:tr>
      <w:tr w:rsidR="007F6E89" w:rsidTr="007F6E89">
        <w:trPr>
          <w:trHeight w:hRule="exact" w:val="845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w w:val="89"/>
                <w:sz w:val="24"/>
                <w:szCs w:val="24"/>
              </w:rPr>
              <w:t>1.29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13 человек/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100%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558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1.29.1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Высшая 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3человека/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23 %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580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1.29.2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w w:val="89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Первая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10человек/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%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63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1.30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составляет: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6E89" w:rsidTr="007F6E89">
        <w:trPr>
          <w:trHeight w:hRule="exact" w:val="62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1.30.1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До 5  лет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0 человек/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0 %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564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1.30.2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Свыше  30 лет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10 человек/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71,4 %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57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1.31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Численность/удельный вес численности педагогических работников в общей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численности педагогических работников в возрасте до 30 лет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 человек/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0%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57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1.32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Численность/удельный вес численности педагогических работников в общей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численности педагогических работников в возрасте от 55 лет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7человек/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53,8 %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1498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1.33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деятельности, в общей численности педагогических и административно-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хозяйственных работников</w:t>
            </w:r>
            <w:proofErr w:type="gramEnd"/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13 человек/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100%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113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1.34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13 человек/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100%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298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Инфраструктура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6E89" w:rsidTr="007F6E89">
        <w:trPr>
          <w:trHeight w:hRule="exact" w:val="462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компьютеров в расчете на одного учащегося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0,3 единицы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66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 xml:space="preserve">36,4 </w:t>
            </w:r>
            <w:r>
              <w:rPr>
                <w:rFonts w:ascii="Times New Roman" w:eastAsia="Times New Roman" w:hAnsi="Times New Roman" w:cs="Times New Roman"/>
                <w:color w:val="000000"/>
                <w:w w:val="85"/>
                <w:sz w:val="24"/>
                <w:szCs w:val="24"/>
              </w:rPr>
              <w:t xml:space="preserve">единицы 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414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Наличие в образовательной организации системы электронного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документооборота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да</w:t>
            </w:r>
          </w:p>
        </w:tc>
      </w:tr>
      <w:tr w:rsidR="007F6E89" w:rsidTr="007F6E89">
        <w:trPr>
          <w:trHeight w:hRule="exact" w:val="298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Наличие читального зала библиотеки, в том числе: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нет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57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2.4.1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С обеспечением возможности работы на стационарных компьютерах 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использования переносных компьютеров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нет</w:t>
            </w:r>
          </w:p>
        </w:tc>
      </w:tr>
      <w:tr w:rsidR="007F6E89" w:rsidTr="007F6E89">
        <w:trPr>
          <w:trHeight w:hRule="exact" w:val="298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2.4.2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медиатекой</w:t>
            </w:r>
            <w:proofErr w:type="spellEnd"/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нет</w:t>
            </w:r>
          </w:p>
        </w:tc>
      </w:tr>
      <w:tr w:rsidR="007F6E89" w:rsidTr="007F6E89">
        <w:trPr>
          <w:trHeight w:hRule="exact" w:val="298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2.4.3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нет</w:t>
            </w:r>
          </w:p>
        </w:tc>
      </w:tr>
      <w:tr w:rsidR="007F6E89" w:rsidTr="007F6E89">
        <w:trPr>
          <w:trHeight w:hRule="exact" w:val="356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2.4.4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С выходом в Интернет с компьютеров, расположенных в помещении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библиотеки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нет</w:t>
            </w:r>
          </w:p>
        </w:tc>
      </w:tr>
      <w:tr w:rsidR="007F6E89" w:rsidTr="007F6E89">
        <w:trPr>
          <w:trHeight w:hRule="exact" w:val="307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>2.4.5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С контролируемой распечаткой бумажных материалов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нет</w:t>
            </w:r>
          </w:p>
        </w:tc>
      </w:tr>
      <w:tr w:rsidR="007F6E89" w:rsidTr="007F6E89">
        <w:trPr>
          <w:trHeight w:hRule="exact" w:val="854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общей численности учащихся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0 человек/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0 %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E89" w:rsidTr="007F6E89">
        <w:trPr>
          <w:trHeight w:hRule="exact" w:val="605"/>
        </w:trPr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Общая  площадь помещений, в которых осуществляется образовательная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деятельность, в расчете на одного учащегося</w:t>
            </w:r>
          </w:p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89" w:rsidRDefault="007F6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22,55  кв.м.</w:t>
            </w:r>
          </w:p>
        </w:tc>
      </w:tr>
    </w:tbl>
    <w:p w:rsidR="007F6E89" w:rsidRDefault="007F6E89" w:rsidP="007F6E89">
      <w:pPr>
        <w:rPr>
          <w:rFonts w:eastAsiaTheme="minorHAnsi"/>
          <w:lang w:eastAsia="en-US"/>
        </w:rPr>
      </w:pPr>
    </w:p>
    <w:p w:rsidR="007F6E89" w:rsidRDefault="007F6E89" w:rsidP="007F6E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7F6E89" w:rsidRPr="00A04593" w:rsidRDefault="007F6E89" w:rsidP="007F6E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593">
        <w:rPr>
          <w:rFonts w:ascii="Times New Roman" w:hAnsi="Times New Roman" w:cs="Times New Roman"/>
          <w:b/>
          <w:bCs/>
          <w:sz w:val="28"/>
          <w:szCs w:val="28"/>
        </w:rPr>
        <w:t>Показатели деятельности</w:t>
      </w:r>
    </w:p>
    <w:p w:rsidR="007F6E89" w:rsidRPr="00A04593" w:rsidRDefault="007F6E89" w:rsidP="007F6E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593">
        <w:rPr>
          <w:rFonts w:ascii="Times New Roman" w:hAnsi="Times New Roman" w:cs="Times New Roman"/>
          <w:b/>
          <w:bCs/>
          <w:sz w:val="28"/>
          <w:szCs w:val="28"/>
        </w:rPr>
        <w:t>ГОУ ЯО «</w:t>
      </w:r>
      <w:proofErr w:type="spellStart"/>
      <w:r w:rsidRPr="00A04593">
        <w:rPr>
          <w:rFonts w:ascii="Times New Roman" w:hAnsi="Times New Roman" w:cs="Times New Roman"/>
          <w:b/>
          <w:bCs/>
          <w:sz w:val="28"/>
          <w:szCs w:val="28"/>
        </w:rPr>
        <w:t>Рыбинская</w:t>
      </w:r>
      <w:proofErr w:type="spellEnd"/>
      <w:r w:rsidRPr="00A04593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 школа»</w:t>
      </w:r>
    </w:p>
    <w:p w:rsidR="007F6E89" w:rsidRPr="00A04593" w:rsidRDefault="007F6E89" w:rsidP="007F6E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593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04593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0459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F6E89" w:rsidRPr="00A04593" w:rsidRDefault="007F6E89" w:rsidP="007F6E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593">
        <w:rPr>
          <w:rFonts w:ascii="Times New Roman" w:hAnsi="Times New Roman" w:cs="Times New Roman"/>
          <w:sz w:val="28"/>
          <w:szCs w:val="28"/>
        </w:rPr>
        <w:t>При анализе показателей деятельности образовательного учреждения учитывались порядок и особенности обучения лиц, осуждённых к лишению свободы:</w:t>
      </w:r>
    </w:p>
    <w:p w:rsidR="007F6E89" w:rsidRPr="00A04593" w:rsidRDefault="007F6E89" w:rsidP="007F6E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593">
        <w:rPr>
          <w:rFonts w:ascii="Times New Roman" w:hAnsi="Times New Roman" w:cs="Times New Roman"/>
          <w:sz w:val="28"/>
          <w:szCs w:val="28"/>
        </w:rPr>
        <w:t xml:space="preserve">– в п. 1.7. показателей деятельности образовательного учреждения, подлежащего </w:t>
      </w:r>
      <w:proofErr w:type="spellStart"/>
      <w:r w:rsidRPr="00A0459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04593">
        <w:rPr>
          <w:rFonts w:ascii="Times New Roman" w:hAnsi="Times New Roman" w:cs="Times New Roman"/>
          <w:sz w:val="28"/>
          <w:szCs w:val="28"/>
        </w:rPr>
        <w:t xml:space="preserve"> (часть II данного отчёта), показатель «Средний балл единого государственного экзамена выпускников 11 класса по русскому языку» заменён на «Средний балл государственного выпускного экзамена выпускников 11 и 12 классов по русскому языку»;</w:t>
      </w:r>
    </w:p>
    <w:p w:rsidR="007F6E89" w:rsidRPr="00A04593" w:rsidRDefault="007F6E89" w:rsidP="007F6E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593">
        <w:rPr>
          <w:rFonts w:ascii="Times New Roman" w:hAnsi="Times New Roman" w:cs="Times New Roman"/>
          <w:sz w:val="28"/>
          <w:szCs w:val="28"/>
        </w:rPr>
        <w:t xml:space="preserve">– в п. 1.8. показателей деятельности </w:t>
      </w:r>
      <w:proofErr w:type="spellStart"/>
      <w:r w:rsidRPr="00A04593">
        <w:rPr>
          <w:rFonts w:ascii="Times New Roman" w:hAnsi="Times New Roman" w:cs="Times New Roman"/>
          <w:sz w:val="28"/>
          <w:szCs w:val="28"/>
        </w:rPr>
        <w:t>образовательногоучреждения</w:t>
      </w:r>
      <w:proofErr w:type="spellEnd"/>
      <w:r w:rsidRPr="00A04593">
        <w:rPr>
          <w:rFonts w:ascii="Times New Roman" w:hAnsi="Times New Roman" w:cs="Times New Roman"/>
          <w:sz w:val="28"/>
          <w:szCs w:val="28"/>
        </w:rPr>
        <w:t xml:space="preserve">, подлежащего </w:t>
      </w:r>
      <w:proofErr w:type="spellStart"/>
      <w:r w:rsidRPr="00A0459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04593">
        <w:rPr>
          <w:rFonts w:ascii="Times New Roman" w:hAnsi="Times New Roman" w:cs="Times New Roman"/>
          <w:sz w:val="28"/>
          <w:szCs w:val="28"/>
        </w:rPr>
        <w:t xml:space="preserve"> (часть II данного отчёта), показатель «Средний балл единого государственного экзамена выпускников 11 класса по математике» заменён на «Средний балл государственного выпускного экзамена выпускников 11 и 12 классов по математике»;</w:t>
      </w:r>
    </w:p>
    <w:p w:rsidR="007F6E89" w:rsidRPr="00A04593" w:rsidRDefault="007F6E89" w:rsidP="007F6E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593">
        <w:rPr>
          <w:rFonts w:ascii="Times New Roman" w:hAnsi="Times New Roman" w:cs="Times New Roman"/>
          <w:sz w:val="28"/>
          <w:szCs w:val="28"/>
        </w:rPr>
        <w:t xml:space="preserve">– в п. 1.11 показателей деятельности образовательного учреждения, подлежащего </w:t>
      </w:r>
      <w:proofErr w:type="spellStart"/>
      <w:r w:rsidRPr="00A0459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04593">
        <w:rPr>
          <w:rFonts w:ascii="Times New Roman" w:hAnsi="Times New Roman" w:cs="Times New Roman"/>
          <w:sz w:val="28"/>
          <w:szCs w:val="28"/>
        </w:rPr>
        <w:t xml:space="preserve"> (часть </w:t>
      </w:r>
      <w:proofErr w:type="spellStart"/>
      <w:r w:rsidRPr="00A04593">
        <w:rPr>
          <w:rFonts w:ascii="Times New Roman" w:hAnsi="Times New Roman" w:cs="Times New Roman"/>
          <w:sz w:val="28"/>
          <w:szCs w:val="28"/>
        </w:rPr>
        <w:t>IIданного</w:t>
      </w:r>
      <w:proofErr w:type="spellEnd"/>
      <w:r w:rsidRPr="00A04593">
        <w:rPr>
          <w:rFonts w:ascii="Times New Roman" w:hAnsi="Times New Roman" w:cs="Times New Roman"/>
          <w:sz w:val="28"/>
          <w:szCs w:val="28"/>
        </w:rPr>
        <w:t xml:space="preserve"> отчёта), показатель «Численность/удельный вес численности выпускников 11 класса, получивших результаты ниже установленного минимального количества баллов ЕГЭ по русскому языку» заменён на «Численность/удельный вес численности выпускников 11 и 12 классов, получивших неудовлетворительные результаты государственного выпускного экзамена по русскому языку, в общей численности выпускников 11 и 12 классов»;</w:t>
      </w:r>
      <w:proofErr w:type="gramEnd"/>
    </w:p>
    <w:p w:rsidR="007F6E89" w:rsidRPr="00A04593" w:rsidRDefault="007F6E89" w:rsidP="007F6E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593">
        <w:rPr>
          <w:rFonts w:ascii="Times New Roman" w:hAnsi="Times New Roman" w:cs="Times New Roman"/>
          <w:sz w:val="28"/>
          <w:szCs w:val="28"/>
        </w:rPr>
        <w:lastRenderedPageBreak/>
        <w:t xml:space="preserve">– в п. 1.12 показателей деятельности </w:t>
      </w:r>
      <w:proofErr w:type="spellStart"/>
      <w:r w:rsidRPr="00A04593">
        <w:rPr>
          <w:rFonts w:ascii="Times New Roman" w:hAnsi="Times New Roman" w:cs="Times New Roman"/>
          <w:sz w:val="28"/>
          <w:szCs w:val="28"/>
        </w:rPr>
        <w:t>образовательногоучреждения</w:t>
      </w:r>
      <w:proofErr w:type="spellEnd"/>
      <w:r w:rsidRPr="00A04593">
        <w:rPr>
          <w:rFonts w:ascii="Times New Roman" w:hAnsi="Times New Roman" w:cs="Times New Roman"/>
          <w:sz w:val="28"/>
          <w:szCs w:val="28"/>
        </w:rPr>
        <w:t xml:space="preserve">, подлежащего </w:t>
      </w:r>
      <w:proofErr w:type="spellStart"/>
      <w:r w:rsidRPr="00A0459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04593">
        <w:rPr>
          <w:rFonts w:ascii="Times New Roman" w:hAnsi="Times New Roman" w:cs="Times New Roman"/>
          <w:sz w:val="28"/>
          <w:szCs w:val="28"/>
        </w:rPr>
        <w:t xml:space="preserve"> (часть </w:t>
      </w:r>
      <w:proofErr w:type="spellStart"/>
      <w:r w:rsidRPr="00A04593">
        <w:rPr>
          <w:rFonts w:ascii="Times New Roman" w:hAnsi="Times New Roman" w:cs="Times New Roman"/>
          <w:sz w:val="28"/>
          <w:szCs w:val="28"/>
        </w:rPr>
        <w:t>IIданного</w:t>
      </w:r>
      <w:proofErr w:type="spellEnd"/>
      <w:r w:rsidRPr="00A04593">
        <w:rPr>
          <w:rFonts w:ascii="Times New Roman" w:hAnsi="Times New Roman" w:cs="Times New Roman"/>
          <w:sz w:val="28"/>
          <w:szCs w:val="28"/>
        </w:rPr>
        <w:t xml:space="preserve"> отчёта), показатель «Численность/удельный вес численности выпускников 11 класса, получивших </w:t>
      </w:r>
      <w:proofErr w:type="spellStart"/>
      <w:r w:rsidRPr="00A04593">
        <w:rPr>
          <w:rFonts w:ascii="Times New Roman" w:hAnsi="Times New Roman" w:cs="Times New Roman"/>
          <w:sz w:val="28"/>
          <w:szCs w:val="28"/>
        </w:rPr>
        <w:t>результатыниже</w:t>
      </w:r>
      <w:proofErr w:type="spellEnd"/>
      <w:r w:rsidRPr="00A04593">
        <w:rPr>
          <w:rFonts w:ascii="Times New Roman" w:hAnsi="Times New Roman" w:cs="Times New Roman"/>
          <w:sz w:val="28"/>
          <w:szCs w:val="28"/>
        </w:rPr>
        <w:t xml:space="preserve"> установленного минимального количества баллов ЕГЭ по математике» заменён на «Численность/удельный </w:t>
      </w:r>
      <w:proofErr w:type="spellStart"/>
      <w:r w:rsidRPr="00A04593">
        <w:rPr>
          <w:rFonts w:ascii="Times New Roman" w:hAnsi="Times New Roman" w:cs="Times New Roman"/>
          <w:sz w:val="28"/>
          <w:szCs w:val="28"/>
        </w:rPr>
        <w:t>весчисленности</w:t>
      </w:r>
      <w:proofErr w:type="spellEnd"/>
      <w:r w:rsidRPr="00A04593">
        <w:rPr>
          <w:rFonts w:ascii="Times New Roman" w:hAnsi="Times New Roman" w:cs="Times New Roman"/>
          <w:sz w:val="28"/>
          <w:szCs w:val="28"/>
        </w:rPr>
        <w:t xml:space="preserve"> выпускников 11 и 12 классов, получивших неудовлетворительные результаты государственного </w:t>
      </w:r>
      <w:proofErr w:type="spellStart"/>
      <w:r w:rsidRPr="00A04593">
        <w:rPr>
          <w:rFonts w:ascii="Times New Roman" w:hAnsi="Times New Roman" w:cs="Times New Roman"/>
          <w:sz w:val="28"/>
          <w:szCs w:val="28"/>
        </w:rPr>
        <w:t>выпускногоэкзамена</w:t>
      </w:r>
      <w:proofErr w:type="spellEnd"/>
      <w:r w:rsidRPr="00A04593">
        <w:rPr>
          <w:rFonts w:ascii="Times New Roman" w:hAnsi="Times New Roman" w:cs="Times New Roman"/>
          <w:sz w:val="28"/>
          <w:szCs w:val="28"/>
        </w:rPr>
        <w:t xml:space="preserve"> по математике, в общей численности выпускников 11 и 12 классов».</w:t>
      </w:r>
      <w:proofErr w:type="gramEnd"/>
    </w:p>
    <w:tbl>
      <w:tblPr>
        <w:tblStyle w:val="a3"/>
        <w:tblW w:w="10065" w:type="dxa"/>
        <w:tblInd w:w="-34" w:type="dxa"/>
        <w:tblLook w:val="04A0"/>
      </w:tblPr>
      <w:tblGrid>
        <w:gridCol w:w="808"/>
        <w:gridCol w:w="7556"/>
        <w:gridCol w:w="1701"/>
      </w:tblGrid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right="-67" w:hanging="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4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04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A04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14" w:hanging="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Единица</w:t>
            </w:r>
          </w:p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1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измерения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33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3AB9">
              <w:rPr>
                <w:rFonts w:ascii="Times New Roman" w:hAnsi="Times New Roman" w:cs="Times New Roman"/>
                <w:sz w:val="28"/>
                <w:szCs w:val="28"/>
              </w:rPr>
              <w:t>83 чел.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3AB9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3AB9">
              <w:rPr>
                <w:rFonts w:ascii="Times New Roman" w:hAnsi="Times New Roman" w:cs="Times New Roman"/>
                <w:sz w:val="28"/>
                <w:szCs w:val="28"/>
              </w:rPr>
              <w:t>78 чел.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успевающих на «4»и «5»по результатам </w:t>
            </w:r>
            <w:proofErr w:type="spellStart"/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промежуточнойаттестации</w:t>
            </w:r>
            <w:proofErr w:type="spellEnd"/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учащихся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3AB9">
              <w:rPr>
                <w:rFonts w:ascii="Times New Roman" w:hAnsi="Times New Roman" w:cs="Times New Roman"/>
                <w:sz w:val="28"/>
                <w:szCs w:val="28"/>
              </w:rPr>
              <w:t>12/14%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</w:tcPr>
          <w:p w:rsidR="007F6E89" w:rsidRPr="00163AB9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</w:tcPr>
          <w:p w:rsidR="007F6E89" w:rsidRPr="00163AB9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9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государственной итоговой аттестации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 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1701" w:type="dxa"/>
          </w:tcPr>
          <w:p w:rsidR="007F6E89" w:rsidRPr="00163AB9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9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государственной итоговой аттестации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 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</w:t>
            </w:r>
          </w:p>
        </w:tc>
        <w:tc>
          <w:tcPr>
            <w:tcW w:w="1701" w:type="dxa"/>
          </w:tcPr>
          <w:p w:rsidR="007F6E89" w:rsidRPr="00163AB9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9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</w:tcPr>
          <w:p w:rsidR="007F6E89" w:rsidRPr="006E79D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0 чел./0 %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</w:tcPr>
          <w:p w:rsidR="007F6E89" w:rsidRPr="006E79D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0 чел./0 %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и 12 классов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получивших неудовлетворительные результаты государственного выпускного экзамена по русскому языку, в 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общей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 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чел./0 %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 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получивших неудовлетворительные результаты государственного выпускного экзамена по математике, в общей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 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0 чел./0 %</w:t>
            </w:r>
          </w:p>
        </w:tc>
      </w:tr>
      <w:tr w:rsidR="007F6E89" w:rsidRPr="006E79D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</w:tcPr>
          <w:p w:rsidR="007F6E89" w:rsidRPr="006E79D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0 чел./0 %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и 12 классов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, не получивших аттестаты о среднем общем образовании, в общей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 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12класс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6556">
              <w:rPr>
                <w:rFonts w:ascii="Times New Roman" w:hAnsi="Times New Roman" w:cs="Times New Roman"/>
                <w:sz w:val="28"/>
                <w:szCs w:val="28"/>
              </w:rPr>
              <w:t>0 чел./0 %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</w:tcPr>
          <w:p w:rsidR="007F6E89" w:rsidRPr="00163AB9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9">
              <w:rPr>
                <w:rFonts w:ascii="Times New Roman" w:hAnsi="Times New Roman" w:cs="Times New Roman"/>
                <w:sz w:val="28"/>
                <w:szCs w:val="28"/>
              </w:rPr>
              <w:t>3чел./100 %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1.16.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 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получивших аттестаты о среднем общем образовании, в общей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 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01" w:type="dxa"/>
          </w:tcPr>
          <w:p w:rsidR="007F6E89" w:rsidRPr="00163AB9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9">
              <w:rPr>
                <w:rFonts w:ascii="Times New Roman" w:hAnsi="Times New Roman" w:cs="Times New Roman"/>
                <w:sz w:val="28"/>
                <w:szCs w:val="28"/>
              </w:rPr>
              <w:t>55 чел./</w:t>
            </w:r>
          </w:p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3AB9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</w:tcPr>
          <w:p w:rsidR="007F6E89" w:rsidRPr="00163AB9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9">
              <w:rPr>
                <w:rFonts w:ascii="Times New Roman" w:hAnsi="Times New Roman" w:cs="Times New Roman"/>
                <w:sz w:val="28"/>
                <w:szCs w:val="28"/>
              </w:rPr>
              <w:t>0 чел./0 %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1.18.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и 12 классов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получивших аттестаты о среднем общем образовании с отличием, в общей численности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 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01" w:type="dxa"/>
          </w:tcPr>
          <w:p w:rsidR="007F6E89" w:rsidRPr="00163AB9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AB9">
              <w:rPr>
                <w:rFonts w:ascii="Times New Roman" w:hAnsi="Times New Roman" w:cs="Times New Roman"/>
                <w:sz w:val="28"/>
                <w:szCs w:val="28"/>
              </w:rPr>
              <w:t>0 чел./0 %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</w:tcPr>
          <w:p w:rsidR="007F6E89" w:rsidRPr="00B65394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394">
              <w:rPr>
                <w:rFonts w:ascii="Times New Roman" w:hAnsi="Times New Roman" w:cs="Times New Roman"/>
                <w:sz w:val="28"/>
                <w:szCs w:val="28"/>
              </w:rPr>
              <w:t>407чел./</w:t>
            </w:r>
          </w:p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65394">
              <w:rPr>
                <w:rFonts w:ascii="Times New Roman" w:hAnsi="Times New Roman" w:cs="Times New Roman"/>
                <w:sz w:val="28"/>
                <w:szCs w:val="28"/>
              </w:rPr>
              <w:t>496%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1.20.1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08F5">
              <w:rPr>
                <w:rFonts w:ascii="Times New Roman" w:hAnsi="Times New Roman" w:cs="Times New Roman"/>
                <w:sz w:val="28"/>
                <w:szCs w:val="28"/>
              </w:rPr>
              <w:t>0 чел./0 %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1.20.2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701" w:type="dxa"/>
          </w:tcPr>
          <w:p w:rsidR="007F6E89" w:rsidRPr="00B65394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394">
              <w:rPr>
                <w:rFonts w:ascii="Times New Roman" w:hAnsi="Times New Roman" w:cs="Times New Roman"/>
                <w:sz w:val="28"/>
                <w:szCs w:val="28"/>
              </w:rPr>
              <w:t>65 чел./16 %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1.20.3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701" w:type="dxa"/>
          </w:tcPr>
          <w:p w:rsidR="007F6E89" w:rsidRPr="00B65394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394">
              <w:rPr>
                <w:rFonts w:ascii="Times New Roman" w:hAnsi="Times New Roman" w:cs="Times New Roman"/>
                <w:sz w:val="28"/>
                <w:szCs w:val="28"/>
              </w:rPr>
              <w:t>99 чел./24%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с углубленным изучением 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учебных предметов, в общей численности учащихся</w:t>
            </w:r>
          </w:p>
        </w:tc>
        <w:tc>
          <w:tcPr>
            <w:tcW w:w="1701" w:type="dxa"/>
          </w:tcPr>
          <w:p w:rsidR="007F6E89" w:rsidRPr="009608F5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чел./0 %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1.22.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3AB9">
              <w:rPr>
                <w:rFonts w:ascii="Times New Roman" w:hAnsi="Times New Roman" w:cs="Times New Roman"/>
                <w:sz w:val="28"/>
                <w:szCs w:val="28"/>
              </w:rPr>
              <w:t>0 чел./0 %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1.23.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6556">
              <w:rPr>
                <w:rFonts w:ascii="Times New Roman" w:hAnsi="Times New Roman" w:cs="Times New Roman"/>
                <w:sz w:val="28"/>
                <w:szCs w:val="28"/>
              </w:rPr>
              <w:t>0 чел./0 %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1.24.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6556">
              <w:rPr>
                <w:rFonts w:ascii="Times New Roman" w:hAnsi="Times New Roman" w:cs="Times New Roman"/>
                <w:sz w:val="28"/>
                <w:szCs w:val="28"/>
              </w:rPr>
              <w:t>0 чел./0 %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1.25.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10/100 %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1.26.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10/100 %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1.27.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10/100 %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1.28.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0 чел./0 %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1.29.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0 чел./0 %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1.30.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</w:tcPr>
          <w:p w:rsidR="007F6E89" w:rsidRPr="006E79D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9 чел./90 %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1.31.1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</w:tcPr>
          <w:p w:rsidR="007F6E89" w:rsidRPr="006E79D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6 чел./60 %</w:t>
            </w:r>
          </w:p>
        </w:tc>
      </w:tr>
      <w:tr w:rsidR="007F6E89" w:rsidRPr="00EA3F46" w:rsidTr="00FD518E"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1.32.2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</w:tcPr>
          <w:p w:rsidR="007F6E89" w:rsidRPr="006E79D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3 чел./30 %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1.33.3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7F6E89" w:rsidRPr="006E79D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1 чел./10 %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1.34.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составляет:</w:t>
            </w:r>
          </w:p>
        </w:tc>
        <w:tc>
          <w:tcPr>
            <w:tcW w:w="1701" w:type="dxa"/>
          </w:tcPr>
          <w:p w:rsidR="007F6E89" w:rsidRPr="006E79D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чел./</w:t>
            </w:r>
          </w:p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1.34.1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701" w:type="dxa"/>
          </w:tcPr>
          <w:p w:rsidR="007F6E89" w:rsidRPr="006E79D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0 чел./0 %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1.34.2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shd w:val="clear" w:color="auto" w:fill="FFFFFF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</w:tcPr>
          <w:p w:rsidR="007F6E89" w:rsidRPr="009608F5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8F5">
              <w:rPr>
                <w:rFonts w:ascii="Times New Roman" w:hAnsi="Times New Roman" w:cs="Times New Roman"/>
                <w:sz w:val="28"/>
                <w:szCs w:val="28"/>
              </w:rPr>
              <w:t>7 чел./</w:t>
            </w:r>
          </w:p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08F5">
              <w:rPr>
                <w:rFonts w:ascii="Times New Roman" w:hAnsi="Times New Roman" w:cs="Times New Roman"/>
                <w:sz w:val="28"/>
                <w:szCs w:val="28"/>
              </w:rPr>
              <w:t>70 %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1.35.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shd w:val="clear" w:color="auto" w:fill="FFFFFF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Численность/удельный вес численности педагогических работников в общей </w:t>
            </w:r>
            <w:r w:rsidRPr="00A0459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численности педагогических работников в возрасте до 30 лет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0 чел./0 %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1.36.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shd w:val="clear" w:color="auto" w:fill="FFFFFF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Численность/удельный вес численности педагогических работников в общей </w:t>
            </w:r>
            <w:r w:rsidRPr="00A0459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численности педагогических работников в возрасте от 55 лет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5 чел./50 %</w:t>
            </w:r>
          </w:p>
        </w:tc>
      </w:tr>
      <w:tr w:rsidR="007F6E89" w:rsidRPr="00EA3F46" w:rsidTr="00FD518E">
        <w:trPr>
          <w:trHeight w:val="267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1.37.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shd w:val="clear" w:color="auto" w:fill="FFFFFF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59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A0459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деятельности, в общей численности педагогических и административно-</w:t>
            </w:r>
            <w:r w:rsidRPr="00A0459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хозяйственных работников</w:t>
            </w:r>
            <w:proofErr w:type="gramEnd"/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08F5">
              <w:rPr>
                <w:rFonts w:ascii="Times New Roman" w:hAnsi="Times New Roman" w:cs="Times New Roman"/>
                <w:sz w:val="28"/>
                <w:szCs w:val="28"/>
              </w:rPr>
              <w:t>14 чел./93 %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1.38.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shd w:val="clear" w:color="auto" w:fill="FFFFFF"/>
              <w:spacing w:line="276" w:lineRule="auto"/>
              <w:ind w:left="-24" w:hanging="84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</w:t>
            </w:r>
            <w:r w:rsidRPr="00A0459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административно-хозяйственных работников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08F5">
              <w:rPr>
                <w:rFonts w:ascii="Times New Roman" w:hAnsi="Times New Roman" w:cs="Times New Roman"/>
                <w:sz w:val="28"/>
                <w:szCs w:val="28"/>
              </w:rPr>
              <w:t>11 чел./73 %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56" w:type="dxa"/>
            <w:vAlign w:val="bottom"/>
          </w:tcPr>
          <w:p w:rsidR="007F6E89" w:rsidRPr="00A04593" w:rsidRDefault="007F6E89" w:rsidP="00FD518E">
            <w:pPr>
              <w:shd w:val="clear" w:color="auto" w:fill="FFFFFF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расчё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те на одного учащегося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08F5">
              <w:rPr>
                <w:rFonts w:ascii="Times New Roman" w:hAnsi="Times New Roman" w:cs="Times New Roman"/>
                <w:sz w:val="28"/>
                <w:szCs w:val="28"/>
              </w:rPr>
              <w:t>0,3 единицы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учёте, в расчёте на одного учащегося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08F5">
              <w:rPr>
                <w:rFonts w:ascii="Times New Roman" w:hAnsi="Times New Roman" w:cs="Times New Roman"/>
                <w:sz w:val="28"/>
                <w:szCs w:val="28"/>
              </w:rPr>
              <w:t>26 единиц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</w:tcPr>
          <w:p w:rsidR="007F6E89" w:rsidRPr="006E79D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701" w:type="dxa"/>
          </w:tcPr>
          <w:p w:rsidR="007F6E89" w:rsidRPr="006E79D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</w:tcPr>
          <w:p w:rsidR="007F6E89" w:rsidRPr="006E79D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 xml:space="preserve">С выходом в Интернет с компьютеров, расположенных в </w:t>
            </w:r>
            <w:r w:rsidRPr="00A04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помещении библиотеки</w:t>
            </w:r>
          </w:p>
        </w:tc>
        <w:tc>
          <w:tcPr>
            <w:tcW w:w="1701" w:type="dxa"/>
          </w:tcPr>
          <w:p w:rsidR="007F6E89" w:rsidRPr="006E79D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2.4.5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79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</w:tcPr>
          <w:p w:rsidR="007F6E89" w:rsidRPr="009608F5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8F5">
              <w:rPr>
                <w:rFonts w:ascii="Times New Roman" w:hAnsi="Times New Roman" w:cs="Times New Roman"/>
                <w:sz w:val="28"/>
                <w:szCs w:val="28"/>
              </w:rPr>
              <w:t>82 чел./</w:t>
            </w:r>
          </w:p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08F5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7F6E89" w:rsidRPr="00EA3F46" w:rsidTr="00FD518E">
        <w:trPr>
          <w:trHeight w:val="121"/>
        </w:trPr>
        <w:tc>
          <w:tcPr>
            <w:tcW w:w="808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556" w:type="dxa"/>
          </w:tcPr>
          <w:p w:rsidR="007F6E89" w:rsidRPr="00A04593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04593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учащегося</w:t>
            </w:r>
          </w:p>
        </w:tc>
        <w:tc>
          <w:tcPr>
            <w:tcW w:w="1701" w:type="dxa"/>
          </w:tcPr>
          <w:p w:rsidR="007F6E89" w:rsidRPr="00EA3F46" w:rsidRDefault="007F6E89" w:rsidP="00FD518E">
            <w:pPr>
              <w:autoSpaceDE w:val="0"/>
              <w:autoSpaceDN w:val="0"/>
              <w:adjustRightInd w:val="0"/>
              <w:spacing w:line="276" w:lineRule="auto"/>
              <w:ind w:left="-24" w:hanging="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  <w:r w:rsidRPr="009608F5">
              <w:rPr>
                <w:rFonts w:ascii="Times New Roman" w:hAnsi="Times New Roman" w:cs="Times New Roman"/>
                <w:sz w:val="28"/>
                <w:szCs w:val="28"/>
              </w:rPr>
              <w:t>9,6 м</w:t>
            </w:r>
            <w:proofErr w:type="gramStart"/>
            <w:r w:rsidRPr="009608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7F6E89" w:rsidRPr="00EA3F46" w:rsidRDefault="007F6E89" w:rsidP="007F6E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6E89" w:rsidRPr="00EA3F46" w:rsidRDefault="007F6E89" w:rsidP="007F6E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6E89" w:rsidRDefault="007F6E89" w:rsidP="007F6E8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2541D" w:rsidRDefault="00D2541D"/>
    <w:sectPr w:rsidR="00D2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E89"/>
    <w:rsid w:val="007F6E89"/>
    <w:rsid w:val="00D2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2492</Words>
  <Characters>14207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ВСШ 21</dc:creator>
  <cp:keywords/>
  <dc:description/>
  <cp:lastModifiedBy>ВСШ 21</cp:lastModifiedBy>
  <cp:revision>3</cp:revision>
  <dcterms:created xsi:type="dcterms:W3CDTF">2025-03-31T05:57:00Z</dcterms:created>
  <dcterms:modified xsi:type="dcterms:W3CDTF">2025-03-31T05:59:00Z</dcterms:modified>
</cp:coreProperties>
</file>